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65</w:t>
      </w:r>
    </w:p>
    <w:p>
      <w:r>
        <w:t>Bundesgericht (BGE), 1994-03-15, DE</w:t>
      </w:r>
    </w:p>
    <w:p>
      <w:r>
        <w:rPr>
          <w:b/>
        </w:rPr>
        <w:t xml:space="preserve">Quelle: </w:t>
      </w:r>
      <w:r>
        <w:t>https://mcp.opencaselaw.ch/entscheid/bge_120 II 65</w:t>
      </w:r>
    </w:p>
    <w:p>
      <w:r>
        <w:t>FR: ATF 120 II 65</w:t>
      </w:r>
    </w:p>
    <w:p>
      <w:r>
        <w:t>IT: DTF 120 II 65</w:t>
      </w:r>
    </w:p>
    <w:p>
      <w:pPr>
        <w:pStyle w:val="Heading2"/>
      </w:pPr>
      <w:r>
        <w:t>Regeste</w:t>
      </w:r>
    </w:p>
    <w:p>
      <w:r>
        <w:t>Regeste Urheberrecht an Werken der Baukunst. Urheberpersönlichkeitsrecht des Architekten. Entstellungsverbot (Art. 11 Abs. 2 und Art. 12 Abs. 3 URG). Urheberpersönlichkeitsschutz des erstschaffenden Architekten hinsichtlich Nachbarbauten. Indirekte Beeinträchtigung eines Werkexemplars ohne Veränderung seiner ursprünglichen Fassung (E. 8a). Begriff der Entstellung (E. 8b).</w:t>
      </w:r>
    </w:p>
    <w:p>
      <w:pPr>
        <w:pStyle w:val="Heading2"/>
      </w:pPr>
      <w:r>
        <w:t>Erwägungen</w:t>
      </w:r>
    </w:p>
    <w:p>
      <w:r>
        <w:rPr>
          <w:b/>
        </w:rPr>
        <w:t>E. 7</w:t>
      </w:r>
    </w:p>
    <w:p>
      <w:r>
        <w:t>(Verhältnis des Eigentumsrechts am Bauwerk zum Urheberpersönlichkeitsrecht des Architekten. - Verneinung eines ausservertraglichen urheberrechtlichen Anspruchs des Architekten auf eine ungeschmälerte Werkintegrität. - Bestätigung von BGE 117 II 466 .)</w:t>
      </w:r>
    </w:p>
    <w:p>
      <w:r>
        <w:rPr>
          <w:b/>
        </w:rPr>
        <w:t>E. 8</w:t>
      </w:r>
    </w:p>
    <w:p>
      <w:r>
        <w:t>Art. 12 Abs. 3 URG regelt unmittelbar bloss die direkte Beeinträchtigung des Werkexemplars, den Eingriff in die Form selbst. Im vorliegenden Fall ist dagegen im wesentlichen ein indirekter Eingriff zu beurteilen, welcher das Werk in einen vom Kläger als beeinträchtigend empfundenen Sachzusammenhang bringt, der sich zwar auf das Werk auswirkt, ohne dass aber die ursprüngliche Fassung selbst verändert wird (SCHILCHER, Der Schutz des Urhebers gegen Werkänderungen, S. 71). a) Die deutsche Rechtsprechung subsumiert diese indirekten Eingriffe unter den Tatbestand der Entstellung und stellt sie insoweit den direkten Veränderungen gleich (BGH in GRUR 1982, S. 107, 109; FROMM/NORDEMANN, N. 2 zu § 14 DURG). Auch für das schweizerische Recht wird postuliert, auf solche indirekte Eingriffe analog Art. 12 Abs. 3 URG anzuwenden (PEDRAZZINI, Neuere Entwicklungen im Urheberrecht des Architekten, BR 1993, S. 7). Dem ist im Grundsatz beizupflichten, doch drängt sich eine Relativierung der Analogie aus dem Schutzbereich des Urheberrechts auf. Das Urheberpersönlichkeitsrecht wirkt ausserhalb vertraglicher und damit relativer Beziehungen grundsätzlich absolut, d.h. gegenüber jedermann, aber auch gegenüber jedermann in gleicher Weise. Zwar ist nach den zitierten Gesetzesbestimmungen der Eigentümer eines Bauwerks grundsätzlich weitergehend zu urheberrechtlichen Beeinträchtigungen desselben befugt als ein unberechtigter Dritter, was unmittelbar aus dem Werkeigentum folgt und sich der Sache nach auf direkte Einwirkungen bezieht. Indessen kann aus diesem Privileg des Eigentums am Werkexemplar für den Bereich indirekter Eingriffe nicht die Pflicht abgeleitet werden, der Eigentümer des geschützten Bauwerks habe bei der Gestaltung des Umfelds dessen Integrität weitergehend zu wahren als ein benachbarter Dritteigentümer. Mit andern Worten ist ausservertraglich unter dem Gesichtspunkt der Widerrechtlichkeit grundsätzlich bedeutungslos, ob die Beeinträchtigung vom früheren Vertragspartner des Urhebers, von einem nachfolgenden Eigentümer am Werkexemplar oder von einem daran unbeteiligten Dritten ausgeht. Der BGE 120 II 65 S. 68 Schutzbereich wird im einen wie im andern Fall bestimmt durch das Entstellungsverbot im Sinne von Art. 11 Abs. 2 URG . Dabei erscheint es indessen sachgerecht, diesen unbestimmten Rechtsbegriff unterschiedlich zu verstehen, je nachdem ob der Eingriff in die Form selbst oder bloss in deren Umfeld erfolgt. Dies erklärt sich daraus, dass im letzten Fall das geschützte Werkexemplar als solches unangetastet bleibt, letztlich gar zwei eigenständige Werke in eine sachliche Beziehung gebracht werden, die nebeneinander Bestand haben und bei beidseits gegebener Individualität oder Originalität auch denselben qualitätsneutralen Schutz geniessen. Einen absoluten Schutz der Alterspriorität kennt das Urheberrecht in diesem Zusammenhang nicht. Mit beachtlichen Gründen wird daher auch die Meinung vertreten, der Urheber des älteren könne sich von vornherein der Schaffung des jüngeren Werks unter Berufung auf sein Persönlichkeitsrecht nicht widersetzen (BARRELET/EGLOFF, Das neue Urheberrecht, N. 16 zu Art. 12 URG ; LUTZ, Über das Urheberrecht des Architekten bei der Änderung von Bauwerken, FS Pedrazzini, S. 617 ff., 626). Demgegenüber vertritt MARKUS BACHMANN (Architektur und Urheberrecht, Diss. Freiburg 1979, S. 324, Rz. 1169) die Auffassung, der Architekt habe seine Architektur wegen der Werkintegrität der Nachbarbauten in deren architektonischen Gesamtkontext zu stellen und müsse sich an die Architekturkonzeption der Nachbargrundstücke förmlich anlehnen, doch weist er selbst darauf hin, dass diese Meinung weder im Gesetz noch in Judikatur und Literatur eine Stütze findet (a.a.O., Fn. 335a). Sie wird andernorts denn auch als zu weitgehend abgelehnt (PEDRAZZINI, a.a.O., S. 7 Fn. 19). Zu Recht weist namentlich der letztgenannte Autor darauf hin, dass das Anpassungsgebot vorab in den Regelungsbereich des öffentlichen Rechts (baupolizeiliche Ästhetikvorschriften, Denkmalschutz) und nicht des Urheberrechts fällt (a.a.O. mit Hinweisen). Selbst das deutsche Recht, welches entgegen dem schweizerischen auch den künstlerischen Charakter des Werks in die Schutzvoraussetzungen miteinbezieht und im Widerstreit der Interessen von Eigentümer und Urheber im Zweifelsfall diesen privilegiert (FROMM/NORDEMANN, N. 1 zu § 14 DURG), setzt dem indirekten Eingriff im hier zu beurteilenden Sinne bloss ausnahmsweise urheberrechtliche Schranken (BEIGEL, Urheberrecht des Architekten, S. 42 Rz. 95) und sieht einen urheberpersönlichkeitsrechtlichen Schutz des prioritär Schaffenden zur Abwehr beeinträchtigender Nachbarbauten nur in Extremfällen vor (SCHILCHER, a.a.O., S. 74 mit Rechtsprechungshinweis in Fn. 123). BGE 120 II 65 S. 69 Von einer solchen Differenzierung ist auch für das schweizerische Recht auszugehen. Dies bedingt einen unterschiedlichen Beurteilungsmassstab an den Begriff der Entstellung, je nachdem ob ein Eingriff in das Werk oder Werkexemplar selbst oder in dessen Umfeld in Frage steht. Das Urheberpersönlichkeitsrecht des Architekten findet damit auch eine räumliche Grenze am beanspruchten und überbauten Raum und vermag nur in ausgesprochenen Ausnahmefällen darüber hinauszustrahlen. Aus dem Begriff des Urheberrechts folgt kein Anspruch auf architektonische Angleichung oder Unterordnung von Nachbarbauten oder auf Freihaltung der in das ursprüngliche Konzept miteinbezogenen natürlichen Landschaft der Bauwerksumgebung. Ein ausservertraglicher Anspruch des Erstschaffenden auf Vergabe auch der Folgeprojekte besteht nach schweizerischem Recht nicht ( BGE 117 II 466 E. 5d), viel weniger noch ein solcher auf die Projektierung von Nachbarbauten, deren Ausführung nicht vom Eigentümer des bereits erstellten Bauwerks beabsichtigt ist. In beiden Fällen aber hat das Entstellungsverbot denselben Gehalt und vermag es den Urheber des benachbarten Werks grundsätzlich nicht daran zu hindern, seinerseits individuelle und originelle Ideen zu verwirklichen. Dagegen vermag auch das dem Vertrauensgrundsatz entfliessende Gebot der schonenden Rechtsausübung nicht aufzukommen. Dieses setzt vielmehr im Privatrecht eine rechtliche Sonderverbindung voraus (BK-MERZ, N. 34 zu Art. 2 ZGB ), welche im Bereich des Änderungsrechts des Bauwerkeigentümers (direkte Eingriffe) allenfalls aus den konkurrierenden Rechten am gleichen Objekt bejaht werden mag ( BGE 117 II 466 E. 5d), aber jedenfalls fehlt, wo die Schaffung selbständiger, wenn auch benachbarter Bauwerke in Frage steht. Hier erschöpft sich das Entstellungsverbot in der dem Deliktsrecht immanenten Forderung eines ethischen Minimums, welches von jedermann und in jeder Lage zu respektieren ist (BK-MERZ, a.a.O. und N. 84 zu Art. 2 ZGB ). b) Untersagt ist dem Eigentümer die persönlichkeitsverletzende Entstellung seines Bauwerks ( Art. 11 Abs. 2 und Art. 12 Abs. 3 URG ). Entstellung liegt dabei nur vor, wenn eine erhebliche Veränderung mit negativen Auswirkungen in Frage steht (BARRELET/EGLOFF, a.a.O., N. 13 zu Art. 11 URG ), bloss geringfügige und dem Urheber zumutbare Änderungen fallen nicht darunter. Erforderlich ist eine grobe Entstellung (Amtl.Bull. NR 1992 17/8 Votum BR Koller), eine als Verstümmelung in Erscheinung tretende Änderung (TROLLER, Immaterialgüterrecht, 3. Aufl., Band II, S. 691), eine einschneidende BGE 120 II 65 S. 70 Verletzung der Persönlichkeit des Urhebers (PEDRAZZINI, a.a.O., S. 7). Entstellung ist damit eine besonders schwerwiegende Form der Beeinträchtigung, eine krasse Verfälschung des in der Werkform zu Tage tretenden geistigen Ausdrucksgehalts als Entfaltung der eigenen Persönlichkeit (vgl. die Hinweise bei SCHILCHER, a.a.O., S. 63 f.). Geht es sodann um indirekte Eingriffe aus dem urheberrechtlich nur mittelbar geschützten Umfeld eines bestehenden Bauwerks, bedarf es nach dem Gesagten darüberhinaus einer sittenwidrigen Inanspruchnahme eigenen Urheberrechts des Zweitschaffenden, einer letztlich moralischen Unredlichkeit, wie sie vergleichbar dem Regelungsgedanken von Art. 41 Abs. 2 OR zugrunde liegt (dazu BK-BREHM, N. 233 ff. zu Art. 41 OR ; OFTINGER/STARK, Schweizerisches Haftpflichtrecht, Band II/1, 4. Aufl. S. 61 ff.).</w:t>
      </w:r>
    </w:p>
    <w:p>
      <w:r>
        <w:rPr>
          <w:b/>
        </w:rPr>
        <w:t>E. 9</w:t>
      </w:r>
    </w:p>
    <w:p>
      <w:r>
        <w:t>(Verneinung einer Verletzung des Urheberpersönlichkeitsrechts des Klägers.)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